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6E35B" w14:textId="77777777" w:rsidR="00CD3643" w:rsidRDefault="00CD3643" w:rsidP="00CD3643">
      <w:pPr>
        <w:widowControl w:val="0"/>
        <w:spacing w:after="120" w:line="360" w:lineRule="auto"/>
        <w:rPr>
          <w:b/>
          <w:bCs/>
          <w:rtl/>
        </w:rPr>
      </w:pPr>
      <w:r w:rsidRPr="00A66BCF">
        <w:rPr>
          <w:rFonts w:hint="cs"/>
          <w:noProof/>
          <w:sz w:val="36"/>
          <w:szCs w:val="36"/>
          <w:rtl/>
        </w:rPr>
        <w:drawing>
          <wp:anchor distT="0" distB="0" distL="114300" distR="114300" simplePos="0" relativeHeight="251659264" behindDoc="0" locked="0" layoutInCell="1" allowOverlap="1" wp14:anchorId="23CD1496" wp14:editId="0D9B8514">
            <wp:simplePos x="0" y="0"/>
            <wp:positionH relativeFrom="margin">
              <wp:align>center</wp:align>
            </wp:positionH>
            <wp:positionV relativeFrom="paragraph">
              <wp:posOffset>5494</wp:posOffset>
            </wp:positionV>
            <wp:extent cx="1981200" cy="1752600"/>
            <wp:effectExtent l="0" t="0" r="0" b="0"/>
            <wp:wrapNone/>
            <wp:docPr id="9080841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81200" cy="1752600"/>
                    </a:xfrm>
                    <a:prstGeom prst="rect">
                      <a:avLst/>
                    </a:prstGeom>
                  </pic:spPr>
                </pic:pic>
              </a:graphicData>
            </a:graphic>
            <wp14:sizeRelH relativeFrom="margin">
              <wp14:pctWidth>0</wp14:pctWidth>
            </wp14:sizeRelH>
            <wp14:sizeRelV relativeFrom="margin">
              <wp14:pctHeight>0</wp14:pctHeight>
            </wp14:sizeRelV>
          </wp:anchor>
        </w:drawing>
      </w:r>
    </w:p>
    <w:p w14:paraId="68BCF087" w14:textId="77777777" w:rsidR="00CD3643" w:rsidRDefault="00CD3643" w:rsidP="00CD3643">
      <w:pPr>
        <w:widowControl w:val="0"/>
        <w:spacing w:after="120" w:line="360" w:lineRule="auto"/>
        <w:rPr>
          <w:b/>
          <w:bCs/>
          <w:rtl/>
        </w:rPr>
      </w:pPr>
    </w:p>
    <w:p w14:paraId="33644D0D" w14:textId="77777777" w:rsidR="00CD3643" w:rsidRDefault="00CD3643" w:rsidP="00CD3643">
      <w:pPr>
        <w:widowControl w:val="0"/>
        <w:spacing w:after="120" w:line="360" w:lineRule="auto"/>
        <w:rPr>
          <w:b/>
          <w:bCs/>
          <w:sz w:val="36"/>
          <w:szCs w:val="36"/>
        </w:rPr>
      </w:pPr>
    </w:p>
    <w:p w14:paraId="29ECB5AE" w14:textId="77777777" w:rsidR="00CD3643" w:rsidRDefault="00CD3643" w:rsidP="00CD3643">
      <w:pPr>
        <w:jc w:val="center"/>
        <w:rPr>
          <w:b/>
          <w:bCs/>
          <w:sz w:val="36"/>
          <w:szCs w:val="36"/>
        </w:rPr>
      </w:pPr>
    </w:p>
    <w:p w14:paraId="79029266" w14:textId="77777777" w:rsidR="00CD3643" w:rsidRDefault="00CD3643" w:rsidP="00CD3643">
      <w:pPr>
        <w:jc w:val="center"/>
        <w:rPr>
          <w:b/>
          <w:bCs/>
          <w:sz w:val="36"/>
          <w:szCs w:val="36"/>
        </w:rPr>
      </w:pPr>
    </w:p>
    <w:p w14:paraId="72B74A1D" w14:textId="77777777" w:rsidR="00CD3643" w:rsidRPr="00A66BCF" w:rsidRDefault="00CD3643" w:rsidP="00CD3643">
      <w:pPr>
        <w:jc w:val="center"/>
        <w:rPr>
          <w:b/>
          <w:bCs/>
          <w:sz w:val="36"/>
          <w:szCs w:val="36"/>
          <w:rtl/>
        </w:rPr>
      </w:pPr>
      <w:r w:rsidRPr="00A66BCF">
        <w:rPr>
          <w:rFonts w:hint="cs"/>
          <w:b/>
          <w:bCs/>
          <w:sz w:val="36"/>
          <w:szCs w:val="36"/>
          <w:rtl/>
        </w:rPr>
        <w:t>كلية العلوم التربوية / الدراسات العليا</w:t>
      </w:r>
    </w:p>
    <w:p w14:paraId="7CA32C7F" w14:textId="77777777" w:rsidR="00CD3643" w:rsidRPr="00A66BCF" w:rsidRDefault="00CD3643" w:rsidP="00CD3643">
      <w:pPr>
        <w:jc w:val="center"/>
        <w:rPr>
          <w:b/>
          <w:bCs/>
          <w:sz w:val="36"/>
          <w:szCs w:val="36"/>
          <w:rtl/>
        </w:rPr>
      </w:pPr>
      <w:r w:rsidRPr="00A66BCF">
        <w:rPr>
          <w:rFonts w:hint="cs"/>
          <w:b/>
          <w:bCs/>
          <w:sz w:val="36"/>
          <w:szCs w:val="36"/>
          <w:rtl/>
        </w:rPr>
        <w:t>قسم المناهج والتدريس / أساليب تدريس العلوم</w:t>
      </w:r>
    </w:p>
    <w:p w14:paraId="1AEF0EFB" w14:textId="77777777" w:rsidR="00CD3643" w:rsidRPr="00A66BCF" w:rsidRDefault="00CD3643" w:rsidP="00CD3643">
      <w:pPr>
        <w:jc w:val="center"/>
        <w:rPr>
          <w:b/>
          <w:bCs/>
          <w:sz w:val="36"/>
          <w:szCs w:val="36"/>
          <w:rtl/>
        </w:rPr>
      </w:pPr>
      <w:r>
        <w:rPr>
          <w:rFonts w:hint="cs"/>
          <w:b/>
          <w:bCs/>
          <w:sz w:val="36"/>
          <w:szCs w:val="36"/>
          <w:rtl/>
        </w:rPr>
        <w:t>استخدام الحاسوب في التعليم</w:t>
      </w:r>
    </w:p>
    <w:p w14:paraId="601E7CFD" w14:textId="77777777" w:rsidR="00CD3643" w:rsidRPr="00A66BCF" w:rsidRDefault="00CD3643" w:rsidP="00CD3643">
      <w:pPr>
        <w:jc w:val="center"/>
        <w:rPr>
          <w:b/>
          <w:bCs/>
          <w:sz w:val="36"/>
          <w:szCs w:val="36"/>
          <w:rtl/>
        </w:rPr>
      </w:pPr>
      <w:r w:rsidRPr="00A66BCF">
        <w:rPr>
          <w:rFonts w:hint="cs"/>
          <w:b/>
          <w:bCs/>
          <w:sz w:val="36"/>
          <w:szCs w:val="36"/>
          <w:rtl/>
        </w:rPr>
        <w:t>مقدم إلى الدكتور</w:t>
      </w:r>
      <w:r>
        <w:rPr>
          <w:rFonts w:hint="cs"/>
          <w:b/>
          <w:bCs/>
          <w:sz w:val="36"/>
          <w:szCs w:val="36"/>
          <w:rtl/>
        </w:rPr>
        <w:t xml:space="preserve"> منصور وريكات.</w:t>
      </w:r>
    </w:p>
    <w:p w14:paraId="0CADCC88" w14:textId="77777777" w:rsidR="00CD3643" w:rsidRDefault="00CD3643" w:rsidP="00CD3643">
      <w:pPr>
        <w:jc w:val="center"/>
        <w:rPr>
          <w:b/>
          <w:bCs/>
          <w:sz w:val="36"/>
          <w:szCs w:val="36"/>
          <w:rtl/>
        </w:rPr>
      </w:pPr>
      <w:r>
        <w:rPr>
          <w:rFonts w:hint="cs"/>
          <w:b/>
          <w:bCs/>
          <w:sz w:val="36"/>
          <w:szCs w:val="36"/>
          <w:rtl/>
        </w:rPr>
        <w:t>الطالب: عبد الرزاق داهود الخطيب</w:t>
      </w:r>
    </w:p>
    <w:p w14:paraId="028C2FFD" w14:textId="77777777" w:rsidR="00CD3643" w:rsidRDefault="00CD3643" w:rsidP="00CD3643">
      <w:pPr>
        <w:jc w:val="center"/>
        <w:rPr>
          <w:b/>
          <w:bCs/>
          <w:sz w:val="36"/>
          <w:szCs w:val="36"/>
          <w:rtl/>
        </w:rPr>
      </w:pPr>
      <w:r w:rsidRPr="00632BEA">
        <w:rPr>
          <w:b/>
          <w:bCs/>
          <w:sz w:val="36"/>
          <w:szCs w:val="36"/>
          <w:rtl/>
        </w:rPr>
        <w:t>8241324</w:t>
      </w:r>
    </w:p>
    <w:p w14:paraId="5719A153" w14:textId="77777777" w:rsidR="00CD3643" w:rsidRDefault="00CD3643" w:rsidP="00CD3643">
      <w:pPr>
        <w:jc w:val="center"/>
        <w:rPr>
          <w:b/>
          <w:bCs/>
          <w:sz w:val="36"/>
          <w:szCs w:val="36"/>
          <w:rtl/>
        </w:rPr>
      </w:pPr>
      <w:r>
        <w:rPr>
          <w:rFonts w:hint="cs"/>
          <w:b/>
          <w:bCs/>
          <w:sz w:val="36"/>
          <w:szCs w:val="36"/>
          <w:rtl/>
        </w:rPr>
        <w:t xml:space="preserve">تأملات اللقاءات الأسبوعية </w:t>
      </w:r>
    </w:p>
    <w:p w14:paraId="0D4ED1A3" w14:textId="77777777" w:rsidR="00CD3643" w:rsidRDefault="00CD3643" w:rsidP="00CD3643">
      <w:pPr>
        <w:rPr>
          <w:b/>
          <w:bCs/>
          <w:sz w:val="36"/>
          <w:szCs w:val="36"/>
          <w:rtl/>
        </w:rPr>
      </w:pPr>
      <w:r>
        <w:rPr>
          <w:b/>
          <w:bCs/>
          <w:sz w:val="36"/>
          <w:szCs w:val="36"/>
          <w:rtl/>
        </w:rPr>
        <w:br w:type="page"/>
      </w:r>
    </w:p>
    <w:p w14:paraId="27FC11C1" w14:textId="77777777" w:rsidR="00CD3643" w:rsidRDefault="00CD3643" w:rsidP="00CD3643">
      <w:pPr>
        <w:pStyle w:val="Heading1"/>
        <w:bidi/>
        <w:rPr>
          <w:rtl/>
          <w:lang w:bidi="ar-JO"/>
        </w:rPr>
      </w:pPr>
      <w:bookmarkStart w:id="0" w:name="_Toc219670162"/>
      <w:r>
        <w:rPr>
          <w:rFonts w:hint="cs"/>
          <w:rtl/>
          <w:lang w:bidi="ar-JO"/>
        </w:rPr>
        <w:lastRenderedPageBreak/>
        <w:t>اللقاء الثالث بتاريخ: 27\10</w:t>
      </w:r>
      <w:bookmarkEnd w:id="0"/>
    </w:p>
    <w:p w14:paraId="0C41F02F" w14:textId="77777777" w:rsidR="00CD3643" w:rsidRPr="00E73515" w:rsidRDefault="00CD3643" w:rsidP="00CD3643">
      <w:pPr>
        <w:bidi/>
        <w:rPr>
          <w:lang w:bidi="ar-JO"/>
        </w:rPr>
      </w:pPr>
      <w:r w:rsidRPr="00E73515">
        <w:rPr>
          <w:rtl/>
        </w:rPr>
        <w:t xml:space="preserve">يتجلى في هذا اللقاء التربوي نقدٌ بنيويٌ عميق للمنظومة التعليمية التقليدية، حيث ينطلق المحاضر من ضرورة تحويل "اللقاء التدريسي" من مجرد فضاء لنقل المعلومات إلى بيئة "إثراء" فكرية تليق بمستوى الدراسات العليا. يظهر منطق المحاضرة في رفضه القاطع لثقافة "التلقين والحفظ" التي يعتبرها هدراً للجهد البشري، حيث يرى أن إفراغ المعلومات في الامتحان يؤدي إلى ضياع المعرفة بعد وقت </w:t>
      </w:r>
      <w:r w:rsidRPr="00E73515">
        <w:rPr>
          <w:rFonts w:hint="cs"/>
          <w:rtl/>
        </w:rPr>
        <w:t>قصير،</w:t>
      </w:r>
      <w:r w:rsidRPr="00E73515">
        <w:rPr>
          <w:rtl/>
        </w:rPr>
        <w:t xml:space="preserve"> إن هذا الطرح يعيد تشكيل مفهوم الوعي الأكاديمي، مشدداً على أن "الدراسات العليا لم تخلق لهذا الأسلوب" التكراري، بل وُجدت لتكون مساحة للتفاعل الفكري</w:t>
      </w:r>
      <w:r w:rsidRPr="00E73515">
        <w:rPr>
          <w:lang w:bidi="ar-JO"/>
        </w:rPr>
        <w:t xml:space="preserve"> (Intellectual) </w:t>
      </w:r>
      <w:r w:rsidRPr="00E73515">
        <w:rPr>
          <w:rtl/>
        </w:rPr>
        <w:t xml:space="preserve">الذي يتجاوز الكم نحو النوع، وهو ما يفسر استبدال الاختبارات التقليدية بـ "ملفات الإنجاز الإلكتروني" التي تعزز التفكير التأملي والبحث </w:t>
      </w:r>
      <w:r w:rsidRPr="00E73515">
        <w:rPr>
          <w:rFonts w:hint="cs"/>
          <w:rtl/>
        </w:rPr>
        <w:t>المستمر،</w:t>
      </w:r>
    </w:p>
    <w:p w14:paraId="58A7F119" w14:textId="77777777" w:rsidR="00CD3643" w:rsidRPr="00E73515" w:rsidRDefault="00CD3643" w:rsidP="00CD3643">
      <w:pPr>
        <w:bidi/>
        <w:rPr>
          <w:lang w:bidi="ar-JO"/>
        </w:rPr>
      </w:pPr>
      <w:r w:rsidRPr="00E73515">
        <w:rPr>
          <w:rtl/>
        </w:rPr>
        <w:t>ويتعمق التحليل في ماهية "التعلم" ذاته، الذي يُختزل في كونه "عملية القدرة على الربط</w:t>
      </w:r>
      <w:r w:rsidRPr="00E73515">
        <w:rPr>
          <w:lang w:bidi="ar-JO"/>
        </w:rPr>
        <w:t>" (Making Connections)</w:t>
      </w:r>
      <w:r w:rsidRPr="00E73515">
        <w:rPr>
          <w:rtl/>
        </w:rPr>
        <w:t xml:space="preserve">، وهو ما يشير إلى أن المعرفة الحقيقية ليست بيانات معزولة، بل هي شبكة من العلاقات يبنيها المتعلم بنفسه. إن هذا التعريف يضع مسؤولية كبرى على عاتق المتعلم، معتبراً أن "التعلم في معظمه قرار داخلي" يتخذه الفرد، فمن يتخذ قراراً مسبقاً بعدم القدرة على تعلم الرياضيات أو الفيزياء يحجم قدراته ذاتياً. ومن هنا، ندرك أن الدور التربوي لا يقتصر على تقديم المثيرات، بل يمتد إلى تحفيز هذا "الشغف الداخلي" الذي يجعل الطالب يبحث عن المعرفة في أمهات الكتب والمصادر المتنوعة قبل بدء العام الدراسي، وهو ما يعيد تعريف العلاقة بين المتعلم ومحيطه العلمي كعلاقة استكشافية لا </w:t>
      </w:r>
      <w:r w:rsidRPr="00E73515">
        <w:rPr>
          <w:rFonts w:hint="cs"/>
          <w:rtl/>
        </w:rPr>
        <w:t>تبعية،</w:t>
      </w:r>
    </w:p>
    <w:p w14:paraId="3DD9247F" w14:textId="77777777" w:rsidR="00CD3643" w:rsidRPr="00E73515" w:rsidRDefault="00CD3643" w:rsidP="00CD3643">
      <w:pPr>
        <w:bidi/>
        <w:rPr>
          <w:lang w:bidi="ar-JO"/>
        </w:rPr>
      </w:pPr>
      <w:r w:rsidRPr="00E73515">
        <w:rPr>
          <w:rtl/>
        </w:rPr>
        <w:t>وفي سياق الحديث عن الوسائط المعاصرة، يطرح اللقاء رؤية متوازنة حول "الإنترنت والذكاء الاصطناعي"، محذراً من الانخداع بفكرة أن كل شيء متوفر رقمياً. إن دلالة قوله بأن "المعرفة لها ثمن</w:t>
      </w:r>
      <w:r w:rsidRPr="00E73515">
        <w:rPr>
          <w:lang w:bidi="ar-JO"/>
        </w:rPr>
        <w:t xml:space="preserve">" (Knowledge has a price) </w:t>
      </w:r>
      <w:r w:rsidRPr="00E73515">
        <w:rPr>
          <w:rtl/>
        </w:rPr>
        <w:t>تشير إلى أن المعلومات العميقة والأبحاث الرصينة لا تُمنح دائماً بالمجان، بل تتطلب جهداً وولوجاً لمستويات متقدمة من "الموثوقية والمصداقية</w:t>
      </w:r>
      <w:proofErr w:type="gramStart"/>
      <w:r w:rsidRPr="00E73515">
        <w:rPr>
          <w:rtl/>
        </w:rPr>
        <w:t>"،.</w:t>
      </w:r>
      <w:proofErr w:type="gramEnd"/>
      <w:r w:rsidRPr="00E73515">
        <w:rPr>
          <w:rtl/>
        </w:rPr>
        <w:t xml:space="preserve"> ويظهر التحليل التأملي هنا أن الذكاء الاصطناعي ليس "منافساً للإنسان"، بل هو أداة "مكملة" ومساندة تعمل على تلخيص وتصنيف عشوائية المعلومات المتوفرة على الشبكة، مما يسهل عملية "الاستيعاب" ويوفر الوقت للباحث ليركز على التحليل </w:t>
      </w:r>
      <w:r w:rsidRPr="00E73515">
        <w:rPr>
          <w:rFonts w:hint="cs"/>
          <w:rtl/>
        </w:rPr>
        <w:t>والنقد،</w:t>
      </w:r>
      <w:r w:rsidRPr="00E73515">
        <w:rPr>
          <w:rtl/>
        </w:rPr>
        <w:t xml:space="preserve"> إن "</w:t>
      </w:r>
      <w:r w:rsidRPr="00E73515">
        <w:rPr>
          <w:rFonts w:hint="cs"/>
          <w:rtl/>
        </w:rPr>
        <w:t>أنسنه</w:t>
      </w:r>
      <w:r w:rsidRPr="00E73515">
        <w:rPr>
          <w:rtl/>
        </w:rPr>
        <w:t xml:space="preserve"> الذكاء الاصطناعي" تعني استخدامه كأداة تطويرية تحت مظلة "تصميم التدريس"، مع الحفاظ على "اللمسة البشرية" التي تميز التدريس عن مجرد تقديم التعليمات</w:t>
      </w:r>
      <w:r w:rsidRPr="00E73515">
        <w:rPr>
          <w:lang w:bidi="ar-JO"/>
        </w:rPr>
        <w:t xml:space="preserve"> (Instruction)</w:t>
      </w:r>
      <w:r>
        <w:rPr>
          <w:rFonts w:hint="cs"/>
          <w:rtl/>
        </w:rPr>
        <w:t>.</w:t>
      </w:r>
    </w:p>
    <w:p w14:paraId="4E5A02DD" w14:textId="77777777" w:rsidR="00CD3643" w:rsidRPr="00E73515" w:rsidRDefault="00CD3643" w:rsidP="00CD3643">
      <w:pPr>
        <w:bidi/>
        <w:rPr>
          <w:lang w:bidi="ar-JO"/>
        </w:rPr>
      </w:pPr>
      <w:r w:rsidRPr="00E73515">
        <w:rPr>
          <w:rtl/>
        </w:rPr>
        <w:t>كما يتناول المقال بُعداً فلسفياً محورياً يتمثل في التمييز بين "المواطن الصالح" و"الإنسان الصالح"، حيث يميل الطرح التربوي في المحاضرة إلى شمولية "الإنسانية" التي تتجاوز الحدود الجغرافية والقانونية الضيقة للمواطنة. إن الاستشهاد بسورة "الإنسان" يرسخ فكرة أن الصلاح الإنساني هو الأصل الذي يتبعه بالضرورة صلاح المواطنة؛ فالفرد "الفاسد إنسانياً لا يمكن أن يكون مواطناً صالحاً</w:t>
      </w:r>
      <w:proofErr w:type="gramStart"/>
      <w:r w:rsidRPr="00E73515">
        <w:rPr>
          <w:rtl/>
        </w:rPr>
        <w:t>"،.</w:t>
      </w:r>
      <w:proofErr w:type="gramEnd"/>
      <w:r w:rsidRPr="00E73515">
        <w:rPr>
          <w:rtl/>
        </w:rPr>
        <w:t xml:space="preserve"> هذا التوجه المهني يعيد صياغة أهداف المناهج الدراسية، لتكون مهمتها إعداد أفراد يمتلكون منظومة قيمية عالمية تمكنهم من التعايش والانضباط في أي بيئة، تماماً كما تفعل "المؤسسة العسكرية" في خلق التنشئة المنضبطة والصبورة التي تفتقر إليها بعض الأطر </w:t>
      </w:r>
      <w:r w:rsidRPr="00E73515">
        <w:rPr>
          <w:rFonts w:hint="cs"/>
          <w:rtl/>
        </w:rPr>
        <w:t>المدنية،</w:t>
      </w:r>
    </w:p>
    <w:p w14:paraId="6E2CB33F" w14:textId="77777777" w:rsidR="00CD3643" w:rsidRDefault="00CD3643" w:rsidP="00CD3643">
      <w:pPr>
        <w:bidi/>
        <w:rPr>
          <w:rtl/>
          <w:lang w:bidi="ar-JO"/>
        </w:rPr>
      </w:pPr>
      <w:r w:rsidRPr="00E73515">
        <w:rPr>
          <w:rtl/>
        </w:rPr>
        <w:t>ختاماً، يؤكد اللقاء على أن "المعلم هو العنصر الحاسم" في العملية التربوية، فهو القدوة التي تشكل وعي الأجيال، وقدرته على الإلهام هي التي ترفع معنويات الطلاب لعقود. إن هذا التحليل التأملي يخلص إلى أن التعليم في عصر التكنولوجيا يتطلب معلماً يتحول من "ناقل للمعلومة" إلى "مرشد ومصمم ومسهل"، وطالباً يتحول من "حافظ" إلى "باحث وصانع للمجتمع</w:t>
      </w:r>
      <w:r w:rsidRPr="00E73515">
        <w:rPr>
          <w:rFonts w:hint="cs"/>
          <w:rtl/>
        </w:rPr>
        <w:t>"،</w:t>
      </w:r>
      <w:r w:rsidRPr="00E73515">
        <w:rPr>
          <w:rtl/>
        </w:rPr>
        <w:t xml:space="preserve"> إن الموائمة الحقيقية تكمن في القدرة على ربط التقدم التقني بالقيم الأخلاقية والقانونية، لضمان عدم انجراف المتعلم خلف "الطابور الخامس" من الأفكار السلبية التي تهدم الروح المعنوية وتعيق التقدم </w:t>
      </w:r>
      <w:r w:rsidRPr="00E73515">
        <w:rPr>
          <w:rFonts w:hint="cs"/>
          <w:rtl/>
        </w:rPr>
        <w:t>الحضاري،</w:t>
      </w:r>
    </w:p>
    <w:p w14:paraId="535C71E6" w14:textId="77777777" w:rsidR="005E5DF4" w:rsidRDefault="005E5DF4" w:rsidP="00CD3643">
      <w:pPr>
        <w:bidi/>
        <w:rPr>
          <w:lang w:bidi="ar-JO"/>
        </w:rPr>
      </w:pPr>
    </w:p>
    <w:sectPr w:rsidR="005E5D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643"/>
    <w:rsid w:val="002C5933"/>
    <w:rsid w:val="003E512C"/>
    <w:rsid w:val="005E5DF4"/>
    <w:rsid w:val="00CD364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260D4"/>
  <w15:chartTrackingRefBased/>
  <w15:docId w15:val="{D2692D5F-EEE3-4BEC-98AC-75D9C6DF7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643"/>
  </w:style>
  <w:style w:type="paragraph" w:styleId="Heading1">
    <w:name w:val="heading 1"/>
    <w:basedOn w:val="Normal"/>
    <w:next w:val="Normal"/>
    <w:link w:val="Heading1Char"/>
    <w:uiPriority w:val="9"/>
    <w:qFormat/>
    <w:rsid w:val="00CD36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36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36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36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36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36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36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36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36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36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36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36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36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36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36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36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36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3643"/>
    <w:rPr>
      <w:rFonts w:eastAsiaTheme="majorEastAsia" w:cstheme="majorBidi"/>
      <w:color w:val="272727" w:themeColor="text1" w:themeTint="D8"/>
    </w:rPr>
  </w:style>
  <w:style w:type="paragraph" w:styleId="Title">
    <w:name w:val="Title"/>
    <w:basedOn w:val="Normal"/>
    <w:next w:val="Normal"/>
    <w:link w:val="TitleChar"/>
    <w:uiPriority w:val="10"/>
    <w:qFormat/>
    <w:rsid w:val="00CD36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36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36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36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3643"/>
    <w:pPr>
      <w:spacing w:before="160"/>
      <w:jc w:val="center"/>
    </w:pPr>
    <w:rPr>
      <w:i/>
      <w:iCs/>
      <w:color w:val="404040" w:themeColor="text1" w:themeTint="BF"/>
    </w:rPr>
  </w:style>
  <w:style w:type="character" w:customStyle="1" w:styleId="QuoteChar">
    <w:name w:val="Quote Char"/>
    <w:basedOn w:val="DefaultParagraphFont"/>
    <w:link w:val="Quote"/>
    <w:uiPriority w:val="29"/>
    <w:rsid w:val="00CD3643"/>
    <w:rPr>
      <w:i/>
      <w:iCs/>
      <w:color w:val="404040" w:themeColor="text1" w:themeTint="BF"/>
    </w:rPr>
  </w:style>
  <w:style w:type="paragraph" w:styleId="ListParagraph">
    <w:name w:val="List Paragraph"/>
    <w:basedOn w:val="Normal"/>
    <w:uiPriority w:val="34"/>
    <w:qFormat/>
    <w:rsid w:val="00CD3643"/>
    <w:pPr>
      <w:ind w:left="720"/>
      <w:contextualSpacing/>
    </w:pPr>
  </w:style>
  <w:style w:type="character" w:styleId="IntenseEmphasis">
    <w:name w:val="Intense Emphasis"/>
    <w:basedOn w:val="DefaultParagraphFont"/>
    <w:uiPriority w:val="21"/>
    <w:qFormat/>
    <w:rsid w:val="00CD3643"/>
    <w:rPr>
      <w:i/>
      <w:iCs/>
      <w:color w:val="0F4761" w:themeColor="accent1" w:themeShade="BF"/>
    </w:rPr>
  </w:style>
  <w:style w:type="paragraph" w:styleId="IntenseQuote">
    <w:name w:val="Intense Quote"/>
    <w:basedOn w:val="Normal"/>
    <w:next w:val="Normal"/>
    <w:link w:val="IntenseQuoteChar"/>
    <w:uiPriority w:val="30"/>
    <w:qFormat/>
    <w:rsid w:val="00CD36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3643"/>
    <w:rPr>
      <w:i/>
      <w:iCs/>
      <w:color w:val="0F4761" w:themeColor="accent1" w:themeShade="BF"/>
    </w:rPr>
  </w:style>
  <w:style w:type="character" w:styleId="IntenseReference">
    <w:name w:val="Intense Reference"/>
    <w:basedOn w:val="DefaultParagraphFont"/>
    <w:uiPriority w:val="32"/>
    <w:qFormat/>
    <w:rsid w:val="00CD36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519</Words>
  <Characters>2962</Characters>
  <Application>Microsoft Office Word</Application>
  <DocSecurity>0</DocSecurity>
  <Lines>24</Lines>
  <Paragraphs>6</Paragraphs>
  <ScaleCrop>false</ScaleCrop>
  <Company/>
  <LinksUpToDate>false</LinksUpToDate>
  <CharactersWithSpaces>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abdulrzaq alkhatib</dc:creator>
  <cp:keywords/>
  <dc:description/>
  <cp:lastModifiedBy>abdulrzaq alkhatib</cp:lastModifiedBy>
  <cp:revision>1</cp:revision>
  <dcterms:created xsi:type="dcterms:W3CDTF">2026-01-18T22:55:00Z</dcterms:created>
  <dcterms:modified xsi:type="dcterms:W3CDTF">2026-01-18T22:55:00Z</dcterms:modified>
</cp:coreProperties>
</file>