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4F19D831" w14:textId="77777777" w:rsidR="00406003" w:rsidRDefault="00406003" w:rsidP="00406003">
      <w:pPr>
        <w:pStyle w:val="Heading1"/>
        <w:bidi/>
        <w:rPr>
          <w:rtl/>
          <w:lang w:bidi="ar-JO"/>
        </w:rPr>
      </w:pPr>
      <w:bookmarkStart w:id="0" w:name="_Toc219670168"/>
      <w:r>
        <w:rPr>
          <w:rFonts w:hint="cs"/>
          <w:rtl/>
          <w:lang w:bidi="ar-JO"/>
        </w:rPr>
        <w:lastRenderedPageBreak/>
        <w:t>اللقاء التاسع بتاريخ: 15\12</w:t>
      </w:r>
      <w:bookmarkEnd w:id="0"/>
    </w:p>
    <w:p w14:paraId="2D87AAB1" w14:textId="77777777" w:rsidR="00406003" w:rsidRPr="002505A0" w:rsidRDefault="00406003" w:rsidP="00406003">
      <w:pPr>
        <w:bidi/>
        <w:rPr>
          <w:lang w:bidi="ar-JO"/>
        </w:rPr>
      </w:pPr>
      <w:r w:rsidRPr="002505A0">
        <w:rPr>
          <w:rtl/>
        </w:rPr>
        <w:t>ينكشف في هذا اللقاء التربوي عمقٌ فلسفي يتجاوز العرض التقني للبرمجيات التعليمية، حيث يؤصل المحاضر لرؤية تعتبر "التعلم هو القدرة على الربط" أو</w:t>
      </w:r>
      <w:r w:rsidRPr="002505A0">
        <w:rPr>
          <w:lang w:bidi="ar-JO"/>
        </w:rPr>
        <w:t xml:space="preserve"> "Making Connections"</w:t>
      </w:r>
      <w:r w:rsidRPr="002505A0">
        <w:rPr>
          <w:rtl/>
        </w:rPr>
        <w:t xml:space="preserve">، وهو ما يمثل الجوهر الحقيقي للنمو العقلي في الدراسات </w:t>
      </w:r>
      <w:r w:rsidRPr="002505A0">
        <w:rPr>
          <w:rFonts w:hint="cs"/>
          <w:rtl/>
        </w:rPr>
        <w:t>العليا.</w:t>
      </w:r>
      <w:r w:rsidRPr="002505A0">
        <w:rPr>
          <w:rtl/>
        </w:rPr>
        <w:t xml:space="preserve"> إن هذا الطرح لا يكتفي بوصف العملية التعليمية، بل يفسر منطقها بوصفها "قراراً داخلياً" يتخذه المتعلم للاستيعاب، مما يحول دور المؤسسة من التلقين إلى توفير "اللقاء" التدريسي التفاعلي الذي يثري الفكر. ومن هنا، ندرك أن الربط بين المفاهيم والواقع هو العتبة الأساسية للإبداع، إذ إن المعرفة المجزأة التي لا تجد طريقها للتطبيق تظل معرفة "سديمية" تفتقر إلى الأثر </w:t>
      </w:r>
      <w:r w:rsidRPr="002505A0">
        <w:rPr>
          <w:rFonts w:hint="cs"/>
          <w:rtl/>
        </w:rPr>
        <w:t>المستدام</w:t>
      </w:r>
      <w:r w:rsidRPr="002505A0">
        <w:rPr>
          <w:lang w:bidi="ar-JO"/>
        </w:rPr>
        <w:t>.</w:t>
      </w:r>
    </w:p>
    <w:p w14:paraId="48AC0870" w14:textId="77777777" w:rsidR="00406003" w:rsidRPr="002505A0" w:rsidRDefault="00406003" w:rsidP="00406003">
      <w:pPr>
        <w:bidi/>
        <w:rPr>
          <w:lang w:bidi="ar-JO"/>
        </w:rPr>
      </w:pPr>
      <w:r w:rsidRPr="002505A0">
        <w:rPr>
          <w:rtl/>
        </w:rPr>
        <w:t xml:space="preserve">وتتضح أبعاد هذا الطرح المهني عند تناول البرمجية التعليمية، التي لا تُعتبر مجرد "أكواد رقمية"، بل كياناً تربوياً يجب أن "تنبثق من منظومة لتصميم التدريس" وتراعي "عناصر المنهاج الخمسة" المتمثلة في الأهداف </w:t>
      </w:r>
      <w:r w:rsidRPr="002505A0">
        <w:rPr>
          <w:rFonts w:hint="cs"/>
          <w:rtl/>
        </w:rPr>
        <w:t>والمحتوى،</w:t>
      </w:r>
      <w:r w:rsidRPr="002505A0">
        <w:rPr>
          <w:rtl/>
        </w:rPr>
        <w:t xml:space="preserve"> </w:t>
      </w:r>
      <w:r w:rsidRPr="002505A0">
        <w:rPr>
          <w:rFonts w:hint="cs"/>
          <w:rtl/>
        </w:rPr>
        <w:t>والطرائق،</w:t>
      </w:r>
      <w:r w:rsidRPr="002505A0">
        <w:rPr>
          <w:rtl/>
        </w:rPr>
        <w:t xml:space="preserve"> </w:t>
      </w:r>
      <w:proofErr w:type="gramStart"/>
      <w:r w:rsidRPr="002505A0">
        <w:rPr>
          <w:rtl/>
        </w:rPr>
        <w:t>والوسائل</w:t>
      </w:r>
      <w:proofErr w:type="gramEnd"/>
      <w:r w:rsidRPr="002505A0">
        <w:rPr>
          <w:rtl/>
        </w:rPr>
        <w:t xml:space="preserve"> والتقويم. إن الدلالة التربوية لهذا الاشتراط تكمن في ضرورة وجود "فلسفة تربوية" واضحة تقود العمل التقني، لضمان عدم انجراف البرمجيات خلف الجوانب التجارية الصرفة التي تفتقر للتخصص التربوي. وبالتأمل في هذا السياق، يظهر أن الفشل في إنتاج برمجيات تعليمية ناجحة يعود غالباً إلى "الفجوة بين التقني والتربوي"، حيث تهتم الشركات بالانيميشن على حساب الكيفية التي يحدث بها التعلم </w:t>
      </w:r>
      <w:r w:rsidRPr="002505A0">
        <w:rPr>
          <w:rFonts w:hint="cs"/>
          <w:rtl/>
        </w:rPr>
        <w:t>فعلياً</w:t>
      </w:r>
      <w:r w:rsidRPr="002505A0">
        <w:rPr>
          <w:lang w:bidi="ar-JO"/>
        </w:rPr>
        <w:t>.</w:t>
      </w:r>
    </w:p>
    <w:p w14:paraId="0ACC9D1D" w14:textId="77777777" w:rsidR="00406003" w:rsidRPr="002505A0" w:rsidRDefault="00406003" w:rsidP="00406003">
      <w:pPr>
        <w:bidi/>
        <w:rPr>
          <w:lang w:bidi="ar-JO"/>
        </w:rPr>
      </w:pPr>
      <w:r w:rsidRPr="002505A0">
        <w:rPr>
          <w:rtl/>
        </w:rPr>
        <w:t>وفي تحليل أنماط البرمجيات، يبرز مفهوم المحاكاة</w:t>
      </w:r>
      <w:r w:rsidRPr="002505A0">
        <w:rPr>
          <w:lang w:bidi="ar-JO"/>
        </w:rPr>
        <w:t xml:space="preserve"> (Simulation) </w:t>
      </w:r>
      <w:r w:rsidRPr="002505A0">
        <w:rPr>
          <w:rtl/>
        </w:rPr>
        <w:t>بوصفه "شريحة من الواقع" أو</w:t>
      </w:r>
      <w:r w:rsidRPr="002505A0">
        <w:rPr>
          <w:lang w:bidi="ar-JO"/>
        </w:rPr>
        <w:t xml:space="preserve"> "Slice of Reality"</w:t>
      </w:r>
      <w:r w:rsidRPr="002505A0">
        <w:rPr>
          <w:rtl/>
        </w:rPr>
        <w:t>، وهو ما يمنح المتعلم فرصة لتجربة "محاكاة المستحيل" وتقليل الكلف وتفادي المخاطر</w:t>
      </w:r>
      <w:r>
        <w:rPr>
          <w:rFonts w:hint="cs"/>
          <w:rtl/>
        </w:rPr>
        <w:t xml:space="preserve">. </w:t>
      </w:r>
      <w:r w:rsidRPr="002505A0">
        <w:rPr>
          <w:rtl/>
        </w:rPr>
        <w:t>إن هذا النمط يعيد تشكيل الممارسة التعليمية بجعلها "مختبراً آمناً" للخطأ والتصحيح، مما يعزز الثقة بالنفس والخبرة المباشرة. وفي المقابل، نجد أن برمجيات "التدريب والممارسة" ترتبط بـ "الفكر السلوكي البحث" القائم على التكرار لتعزيز الصواب وتكوين العادة، خاصة في المواضيع التي لا يملك فيها المتعلم خبرات سابقة للبناء عليها. هذا التنوع في التصنيفات يعكس وعياً بأن كل نمط برمجي يخدم غاية تعليمية ونظرية محددة، مما يستوجب دقة في الاختيار والتوظيف</w:t>
      </w:r>
      <w:r w:rsidRPr="002505A0">
        <w:rPr>
          <w:lang w:bidi="ar-JO"/>
        </w:rPr>
        <w:t>.</w:t>
      </w:r>
    </w:p>
    <w:p w14:paraId="66B40EA4" w14:textId="77777777" w:rsidR="00406003" w:rsidRPr="002505A0" w:rsidRDefault="00406003" w:rsidP="00406003">
      <w:pPr>
        <w:bidi/>
        <w:rPr>
          <w:lang w:bidi="ar-JO"/>
        </w:rPr>
      </w:pPr>
      <w:r w:rsidRPr="002505A0">
        <w:rPr>
          <w:rtl/>
        </w:rPr>
        <w:t xml:space="preserve">أما مرحلة إنتاج البرمجية، فتعد رحلة فكرية تبدأ من "التصميم" وتنتهي بـ "التحديث المستمر"، حيث يبرز "السيناريو" كأخطر وأهم هذه المراحل التي تتطلب "ثقافة واسعة جداً" وقدرة على التخيل الإبداعي. إن التحليل المنطقي لهذه العملية يكشف أن إنتاج البرمجية ليس عملاً فردياً يقوم به مبرمج فحسب، بل هو جهد "فريق عمل متكامل" يضم خبراء في علم النفس، والمنهاج، واللغة، والقياس، والتقويم، وحتى المتعلمين أنفسهم. ومن المنظور التأملي، فإن هذا التكامل المهني هو الضمانة الوحيدة لإنتاج مادة تعليمية تتسم بالشمولية والمنطقية والجمال، بعيداً عن "السذاجة" في التصميم التي تكتفي بالانبهار بالأداة التقنية دون مضمونها </w:t>
      </w:r>
      <w:proofErr w:type="gramStart"/>
      <w:r w:rsidRPr="002505A0">
        <w:rPr>
          <w:rtl/>
        </w:rPr>
        <w:t>التربوي</w:t>
      </w:r>
      <w:r w:rsidRPr="002505A0">
        <w:rPr>
          <w:lang w:bidi="ar-JO"/>
        </w:rPr>
        <w:t xml:space="preserve"> .</w:t>
      </w:r>
      <w:proofErr w:type="gramEnd"/>
    </w:p>
    <w:p w14:paraId="24A290C2" w14:textId="77777777" w:rsidR="00406003" w:rsidRPr="002505A0" w:rsidRDefault="00406003" w:rsidP="00406003">
      <w:pPr>
        <w:bidi/>
        <w:rPr>
          <w:lang w:bidi="ar-JO"/>
        </w:rPr>
      </w:pPr>
      <w:r w:rsidRPr="002505A0">
        <w:rPr>
          <w:rtl/>
        </w:rPr>
        <w:t>وفي ختام هذا التحليل، يبرز التأكيد على "الهوية واللغة" كجزء لا يتجزأ من التكوين التربوي، حيث يُطرح ندم علماء عالميين مثل "تشومسكي" لعدم تعلم العربية كدلالة على "إعجاز اللغة العربية" وقدرتها على تنشيط خلايا الدماغ إن الربط بين التكنولوجيا واللغة والقرآن يعكس رؤية شمولية ترى في "الاتزان بين الأصالة والمعاصرة" طريقاً للتحضر الحقيقي، الذي يبدأ بـ "الاعتراف بوجود المشكلة" كأول خطوة للحل. إن التأمل في هذا اللقاء يدفعنا للإيمان بأن الدراسات العليا هي رحلة "لصقل الشخصية وبناء القدوة"، حيث يصبح الطالب "فناناً شاملاً" يمتلك بصمة خاصة في ممارسته المهنية والأكاديمية، بعيداً عن القوالب الجاهزة والتلقين العقي</w:t>
      </w:r>
      <w:r w:rsidRPr="002505A0">
        <w:rPr>
          <w:lang w:bidi="ar-JO"/>
        </w:rPr>
        <w:t>.</w:t>
      </w:r>
    </w:p>
    <w:p w14:paraId="535C71E6" w14:textId="77777777" w:rsidR="005E5DF4" w:rsidRPr="00406003" w:rsidRDefault="005E5DF4" w:rsidP="00406003">
      <w:pPr>
        <w:pStyle w:val="Heading1"/>
        <w:bidi/>
        <w:rPr>
          <w:lang w:bidi="ar-JO"/>
        </w:rPr>
      </w:pPr>
    </w:p>
    <w:sectPr w:rsidR="005E5DF4" w:rsidRPr="004060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2C5933"/>
    <w:rsid w:val="003E512C"/>
    <w:rsid w:val="00406003"/>
    <w:rsid w:val="005E5DF4"/>
    <w:rsid w:val="00945CA5"/>
    <w:rsid w:val="00C7760A"/>
    <w:rsid w:val="00CA4CA6"/>
    <w:rsid w:val="00CD3643"/>
    <w:rsid w:val="00F16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487</Words>
  <Characters>2777</Characters>
  <Application>Microsoft Office Word</Application>
  <DocSecurity>0</DocSecurity>
  <Lines>23</Lines>
  <Paragraphs>6</Paragraphs>
  <ScaleCrop>false</ScaleCrop>
  <Company/>
  <LinksUpToDate>false</LinksUpToDate>
  <CharactersWithSpaces>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cp:lastPrinted>2026-01-18T22:58:00Z</cp:lastPrinted>
  <dcterms:created xsi:type="dcterms:W3CDTF">2026-01-18T23:00:00Z</dcterms:created>
  <dcterms:modified xsi:type="dcterms:W3CDTF">2026-01-18T23:00:00Z</dcterms:modified>
</cp:coreProperties>
</file>